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73DBB">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418452</w:t>
      </w:r>
      <w:bookmarkStart w:id="8" w:name="_GoBack"/>
      <w:bookmarkEnd w:id="8"/>
      <w:r>
        <w:rPr>
          <w:b/>
          <w:sz w:val="24"/>
          <w:szCs w:val="24"/>
          <w:highlight w:val="none"/>
        </w:rPr>
        <w:t xml:space="preserve">                      </w:t>
      </w:r>
    </w:p>
    <w:bookmarkEnd w:id="0"/>
    <w:bookmarkEnd w:id="1"/>
    <w:p w14:paraId="37412DE4">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60C18580">
      <w:pPr>
        <w:tabs>
          <w:tab w:val="left" w:pos="1985"/>
        </w:tabs>
        <w:rPr>
          <w:rFonts w:ascii="Times New Roman" w:hAnsi="Times New Roman"/>
          <w:b/>
          <w:sz w:val="22"/>
          <w:highlight w:val="none"/>
        </w:rPr>
      </w:pPr>
    </w:p>
    <w:p w14:paraId="0AF8EB85">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4.2</w:t>
      </w:r>
    </w:p>
    <w:p w14:paraId="7B30FC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1054C2E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testability and interoperability issues for beam management</w:t>
      </w:r>
    </w:p>
    <w:bookmarkEnd w:id="4"/>
    <w:bookmarkEnd w:id="5"/>
    <w:p w14:paraId="1A81DFD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550F5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376E60">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0E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4F2AC6D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AE35AE2">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505E4E31">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488F9FA5">
            <w:pPr>
              <w:numPr>
                <w:ilvl w:val="0"/>
                <w:numId w:val="0"/>
              </w:numPr>
              <w:spacing w:after="0"/>
              <w:ind w:left="-60" w:leftChars="0"/>
              <w:rPr>
                <w:rFonts w:hint="default" w:ascii="Times New Roman" w:hAnsi="Times New Roman" w:cs="Times New Roman"/>
                <w:bCs/>
                <w:sz w:val="20"/>
                <w:szCs w:val="20"/>
              </w:rPr>
            </w:pPr>
          </w:p>
          <w:p w14:paraId="1B1931F0">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4495A9CD">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86FF95B">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40E27A7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0E8AD9B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5307D13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772A1418">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1F67DC3">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268EB59">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testability and interoperability issues for beam management.</w:t>
      </w:r>
    </w:p>
    <w:p w14:paraId="0BEA4C2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31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43D4B14">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2-</w:t>
            </w:r>
            <w:r>
              <w:rPr>
                <w:rFonts w:hint="default" w:ascii="Times New Roman" w:hAnsi="Times New Roman" w:eastAsia="Yu Mincho" w:cs="Times New Roman"/>
                <w:b/>
                <w:color w:val="auto"/>
                <w:sz w:val="20"/>
                <w:szCs w:val="20"/>
                <w:u w:val="single"/>
                <w:lang w:eastAsia="ja-JP"/>
              </w:rPr>
              <w:t>8</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Channel model for beam prediction testing</w:t>
            </w:r>
          </w:p>
          <w:p w14:paraId="575E986D">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3E11081">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simplified CDL</w:t>
            </w:r>
          </w:p>
          <w:p w14:paraId="591D5A4B">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TDL</w:t>
            </w:r>
          </w:p>
          <w:p w14:paraId="3D82B36C">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3: others</w:t>
            </w:r>
          </w:p>
        </w:tc>
      </w:tr>
    </w:tbl>
    <w:p w14:paraId="4E42032F">
      <w:pPr>
        <w:spacing w:after="180" w:line="240" w:lineRule="exact"/>
        <w:rPr>
          <w:rFonts w:hint="eastAsia" w:ascii="Times New Roman" w:hAnsi="Times New Roman" w:eastAsia="等线"/>
          <w:bCs/>
          <w:iCs/>
          <w:sz w:val="20"/>
          <w:szCs w:val="20"/>
          <w:lang w:val="en-US" w:eastAsia="zh-CN"/>
        </w:rPr>
      </w:pPr>
    </w:p>
    <w:p w14:paraId="0ADAE7A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Spatial/time domain prediction require to learn the sufficient spatial/time domain characteristic, which means that sufficient randomness and variation in time and spatial domain in the test is necessary. Compared with TDL, CDL channel reflects field conditions accurately, and is more suitable for beam prediction testing.  </w:t>
      </w:r>
    </w:p>
    <w:p w14:paraId="2384920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beam prediction testing, simplified CDL is prefered. </w:t>
      </w:r>
    </w:p>
    <w:p w14:paraId="2CBB3136">
      <w:pPr>
        <w:spacing w:after="180" w:line="240" w:lineRule="exact"/>
        <w:rPr>
          <w:rFonts w:hint="eastAsia"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8CA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91E06A">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2-</w:t>
            </w:r>
            <w:r>
              <w:rPr>
                <w:rFonts w:hint="default" w:ascii="Times New Roman" w:hAnsi="Times New Roman" w:eastAsia="Yu Mincho" w:cs="Times New Roman"/>
                <w:b/>
                <w:color w:val="auto"/>
                <w:sz w:val="20"/>
                <w:szCs w:val="20"/>
                <w:u w:val="single"/>
                <w:lang w:eastAsia="ja-JP"/>
              </w:rPr>
              <w:t>11</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Beam prediction testing process</w:t>
            </w:r>
          </w:p>
          <w:p w14:paraId="1C660D17">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20962F0F">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Test needs to have at least 2 parts: </w:t>
            </w:r>
          </w:p>
          <w:p w14:paraId="51126A36">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1. inference part of the test (UE has to make the actual prediction)</w:t>
            </w:r>
          </w:p>
          <w:p w14:paraId="3FCE4146">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2. predicted beam measurement (UE has to measure and report “the ground truth”) </w:t>
            </w:r>
          </w:p>
          <w:p w14:paraId="67E21FC6">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others</w:t>
            </w:r>
          </w:p>
        </w:tc>
      </w:tr>
    </w:tbl>
    <w:p w14:paraId="45CDEBF1">
      <w:pPr>
        <w:spacing w:after="180" w:line="240" w:lineRule="exact"/>
        <w:rPr>
          <w:rFonts w:hint="eastAsia" w:ascii="Times New Roman" w:hAnsi="Times New Roman" w:eastAsia="等线"/>
          <w:bCs/>
          <w:iCs/>
          <w:sz w:val="20"/>
          <w:szCs w:val="20"/>
          <w:lang w:val="en-US" w:eastAsia="zh-CN"/>
        </w:rPr>
      </w:pPr>
    </w:p>
    <w:p w14:paraId="39A5A3A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Since </w:t>
      </w:r>
      <w:r>
        <w:rPr>
          <w:rFonts w:hint="default" w:ascii="Times New Roman" w:hAnsi="Times New Roman" w:eastAsia="Yu Mincho" w:cs="Times New Roman"/>
          <w:sz w:val="20"/>
          <w:szCs w:val="20"/>
          <w:highlight w:val="none"/>
          <w:lang w:eastAsia="ja-JP"/>
        </w:rPr>
        <w:t>reported RSRP measurement</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which is up to UE implementation, it was agreed in RAN4 #111 meeting that the ground truth for FR2 is the approximate as the reported RSRP measurement under the certain SNR on the predicted Tx beam. And assumption is that SNR is high enough for sufficient accuracy of reported RSRP.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C5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ADD51E9">
            <w:pPr>
              <w:rPr>
                <w:rFonts w:hint="default" w:ascii="Times New Roman" w:hAnsi="Times New Roman" w:cs="Times New Roman"/>
                <w:b/>
                <w:sz w:val="20"/>
                <w:szCs w:val="20"/>
                <w:highlight w:val="none"/>
                <w:u w:val="single"/>
              </w:rPr>
            </w:pPr>
            <w:r>
              <w:rPr>
                <w:rFonts w:hint="eastAsia" w:ascii="Times New Roman" w:hAnsi="Times New Roman" w:cs="Times New Roman"/>
                <w:b/>
                <w:sz w:val="20"/>
                <w:szCs w:val="20"/>
                <w:highlight w:val="none"/>
                <w:u w:val="single"/>
                <w:lang w:val="en-US" w:eastAsia="zh-CN"/>
              </w:rPr>
              <w:t>Agreements in RAN4 #111 meeting</w:t>
            </w:r>
          </w:p>
          <w:p w14:paraId="01C1C661">
            <w:pPr>
              <w:rPr>
                <w:rFonts w:hint="default" w:ascii="Times New Roman" w:hAnsi="Times New Roman" w:cs="Times New Roman"/>
                <w:b/>
                <w:sz w:val="20"/>
                <w:szCs w:val="20"/>
                <w:highlight w:val="none"/>
                <w:u w:val="single"/>
              </w:rPr>
            </w:pPr>
          </w:p>
          <w:p w14:paraId="22079302">
            <w:pPr>
              <w:rPr>
                <w:rFonts w:hint="default" w:ascii="Times New Roman" w:hAnsi="Times New Roman" w:eastAsia="Yu Mincho" w:cs="Times New Roman"/>
                <w:b/>
                <w:bCs/>
                <w:sz w:val="20"/>
                <w:szCs w:val="20"/>
                <w:highlight w:val="none"/>
                <w:lang w:eastAsia="ja-JP"/>
              </w:rPr>
            </w:pPr>
            <w:r>
              <w:rPr>
                <w:rFonts w:hint="default" w:ascii="Times New Roman" w:hAnsi="Times New Roman" w:eastAsia="Yu Mincho" w:cs="Times New Roman"/>
                <w:b/>
                <w:bCs/>
                <w:sz w:val="20"/>
                <w:szCs w:val="20"/>
                <w:highlight w:val="none"/>
                <w:lang w:eastAsia="ja-JP"/>
              </w:rPr>
              <w:t>Agreement:</w:t>
            </w:r>
          </w:p>
          <w:p w14:paraId="6E188175">
            <w:pPr>
              <w:pStyle w:val="10"/>
              <w:numPr>
                <w:ilvl w:val="0"/>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The ground truth for the predicted RSRP is the ideal measurement of RSRP on the predicted Tx beam</w:t>
            </w:r>
          </w:p>
          <w:p w14:paraId="457EF1A8">
            <w:pPr>
              <w:pStyle w:val="10"/>
              <w:numPr>
                <w:ilvl w:val="1"/>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In RAN4, the ground truth is the approximate as the reported RSRP measurement under the certain SNR on the predicted Tx beam</w:t>
            </w:r>
          </w:p>
          <w:p w14:paraId="3D077D22">
            <w:pPr>
              <w:pStyle w:val="10"/>
              <w:numPr>
                <w:ilvl w:val="2"/>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SNR level to ensure that SNR is high enough for sufficient accuracy of reported RSRP</w:t>
            </w:r>
          </w:p>
          <w:p w14:paraId="29E9EFC7">
            <w:pPr>
              <w:pStyle w:val="10"/>
              <w:numPr>
                <w:ilvl w:val="2"/>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impact of multiple-AoA test setup</w:t>
            </w:r>
          </w:p>
          <w:p w14:paraId="231F2D98">
            <w:pPr>
              <w:pStyle w:val="10"/>
              <w:numPr>
                <w:ilvl w:val="2"/>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the channel condition</w:t>
            </w:r>
          </w:p>
          <w:p w14:paraId="7A745C9E">
            <w:pPr>
              <w:pStyle w:val="10"/>
              <w:numPr>
                <w:ilvl w:val="2"/>
                <w:numId w:val="7"/>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whether the ground truth will be changing or not</w:t>
            </w:r>
          </w:p>
          <w:p w14:paraId="7D2F179B">
            <w:pPr>
              <w:pStyle w:val="10"/>
              <w:numPr>
                <w:ilvl w:val="1"/>
                <w:numId w:val="7"/>
              </w:numPr>
              <w:overflowPunct w:val="0"/>
              <w:autoSpaceDE w:val="0"/>
              <w:autoSpaceDN w:val="0"/>
              <w:adjustRightInd w:val="0"/>
              <w:spacing w:after="180"/>
              <w:textAlignment w:val="baseline"/>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Yu Mincho" w:cs="Times New Roman"/>
                <w:sz w:val="20"/>
                <w:szCs w:val="20"/>
                <w:highlight w:val="none"/>
                <w:lang w:eastAsia="ja-JP"/>
              </w:rPr>
              <w:t>Other solutions are not precluded</w:t>
            </w:r>
          </w:p>
        </w:tc>
      </w:tr>
    </w:tbl>
    <w:p w14:paraId="1684459F">
      <w:pPr>
        <w:spacing w:after="180" w:line="240" w:lineRule="exact"/>
        <w:rPr>
          <w:rFonts w:hint="eastAsia" w:ascii="Times New Roman" w:hAnsi="Times New Roman" w:eastAsia="等线"/>
          <w:bCs/>
          <w:iCs/>
          <w:sz w:val="20"/>
          <w:szCs w:val="20"/>
          <w:lang w:val="en-US" w:eastAsia="zh-CN"/>
        </w:rPr>
      </w:pPr>
    </w:p>
    <w:p w14:paraId="57FE220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above agreements, during the test, it is necessary to have the procedure to get the ground truth. And it is straightforward that there is a part for prediction. Of course, the final KPI for BM is not conclided, if absolute RSRP accuracy is agreed as test metric, Option 1 can be used as baseline that test for BM at least include two parts: the part to get ground truth, and the part for prediction performance verification.</w:t>
      </w:r>
    </w:p>
    <w:p w14:paraId="660D725F">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Proposal 2: </w:t>
      </w:r>
      <w:r>
        <w:rPr>
          <w:rFonts w:hint="default" w:ascii="Times New Roman" w:hAnsi="Times New Roman" w:eastAsia="游明朝" w:cs="Times New Roman"/>
          <w:b/>
          <w:bCs w:val="0"/>
          <w:i/>
          <w:iCs w:val="0"/>
          <w:sz w:val="20"/>
          <w:szCs w:val="20"/>
          <w:lang w:eastAsia="ja-JP"/>
        </w:rPr>
        <w:t>If the absolute RSRP is agreed to be metric for the beam management prediction,</w:t>
      </w:r>
      <w:r>
        <w:rPr>
          <w:rFonts w:hint="default" w:ascii="Times New Roman" w:hAnsi="Times New Roman" w:cs="Times New Roman"/>
          <w:b/>
          <w:bCs w:val="0"/>
          <w:i/>
          <w:iCs w:val="0"/>
          <w:sz w:val="20"/>
          <w:szCs w:val="20"/>
          <w:lang w:val="en-US" w:eastAsia="zh-CN"/>
        </w:rPr>
        <w:t xml:space="preserve"> </w:t>
      </w:r>
      <w:r>
        <w:rPr>
          <w:rFonts w:hint="default" w:ascii="Times New Roman" w:hAnsi="Times New Roman" w:eastAsia="等线" w:cs="Times New Roman"/>
          <w:b/>
          <w:bCs w:val="0"/>
          <w:i/>
          <w:iCs w:val="0"/>
          <w:sz w:val="20"/>
          <w:szCs w:val="20"/>
          <w:lang w:val="en-US" w:eastAsia="zh-CN"/>
        </w:rPr>
        <w:t>it is proposed that tests for BM at least include two parts: the part to get ground truth, and the part for prediction</w:t>
      </w:r>
      <w:r>
        <w:rPr>
          <w:rFonts w:hint="eastAsia" w:ascii="Times New Roman" w:hAnsi="Times New Roman" w:eastAsia="等线" w:cs="Times New Roman"/>
          <w:b/>
          <w:bCs w:val="0"/>
          <w:i/>
          <w:iCs w:val="0"/>
          <w:sz w:val="20"/>
          <w:szCs w:val="20"/>
          <w:lang w:val="en-US" w:eastAsia="zh-CN"/>
        </w:rPr>
        <w:t xml:space="preserve"> verification</w:t>
      </w:r>
      <w:r>
        <w:rPr>
          <w:rFonts w:hint="default" w:ascii="Times New Roman" w:hAnsi="Times New Roman" w:eastAsia="等线" w:cs="Times New Roman"/>
          <w:b/>
          <w:bCs w:val="0"/>
          <w:i/>
          <w:iCs w:val="0"/>
          <w:sz w:val="20"/>
          <w:szCs w:val="20"/>
          <w:lang w:val="en-US" w:eastAsia="zh-CN"/>
        </w:rPr>
        <w:t>.</w:t>
      </w:r>
    </w:p>
    <w:p w14:paraId="03F93C02">
      <w:pPr>
        <w:spacing w:after="180" w:line="240" w:lineRule="exact"/>
        <w:rPr>
          <w:rFonts w:hint="eastAsia" w:ascii="Times New Roman" w:hAnsi="Times New Roman" w:eastAsia="等线"/>
          <w:bCs/>
          <w:iCs/>
          <w:sz w:val="20"/>
          <w:szCs w:val="20"/>
          <w:lang w:val="en-US" w:eastAsia="zh-CN"/>
        </w:rPr>
      </w:pPr>
    </w:p>
    <w:bookmarkEnd w:id="6"/>
    <w:bookmarkEnd w:id="7"/>
    <w:p w14:paraId="1191F57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4727D05C">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beam management. The proposals are:</w:t>
      </w:r>
    </w:p>
    <w:p w14:paraId="711B74E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beam prediction testing, simplified CDL is prefered. </w:t>
      </w:r>
    </w:p>
    <w:p w14:paraId="55FFF132">
      <w:pPr>
        <w:spacing w:after="180" w:line="240" w:lineRule="exact"/>
        <w:rPr>
          <w:rFonts w:hint="eastAsia" w:ascii="Times New Roman" w:hAnsi="Times New Roman"/>
          <w:sz w:val="20"/>
          <w:szCs w:val="20"/>
        </w:rPr>
      </w:pPr>
      <w:r>
        <w:rPr>
          <w:rFonts w:hint="default" w:ascii="Times New Roman" w:hAnsi="Times New Roman" w:eastAsia="等线" w:cs="Times New Roman"/>
          <w:b/>
          <w:bCs w:val="0"/>
          <w:i/>
          <w:iCs w:val="0"/>
          <w:sz w:val="20"/>
          <w:szCs w:val="20"/>
          <w:lang w:val="en-US" w:eastAsia="zh-CN"/>
        </w:rPr>
        <w:t xml:space="preserve">Proposal 2: </w:t>
      </w:r>
      <w:r>
        <w:rPr>
          <w:rFonts w:hint="default" w:ascii="Times New Roman" w:hAnsi="Times New Roman" w:eastAsia="游明朝" w:cs="Times New Roman"/>
          <w:b/>
          <w:bCs w:val="0"/>
          <w:i/>
          <w:iCs w:val="0"/>
          <w:sz w:val="20"/>
          <w:szCs w:val="20"/>
          <w:lang w:eastAsia="ja-JP"/>
        </w:rPr>
        <w:t>If the absolute RSRP is agreed to be metric for the beam management prediction,</w:t>
      </w:r>
      <w:r>
        <w:rPr>
          <w:rFonts w:hint="default" w:ascii="Times New Roman" w:hAnsi="Times New Roman" w:cs="Times New Roman"/>
          <w:b/>
          <w:bCs w:val="0"/>
          <w:i/>
          <w:iCs w:val="0"/>
          <w:sz w:val="20"/>
          <w:szCs w:val="20"/>
          <w:lang w:val="en-US" w:eastAsia="zh-CN"/>
        </w:rPr>
        <w:t xml:space="preserve"> </w:t>
      </w:r>
      <w:r>
        <w:rPr>
          <w:rFonts w:hint="default" w:ascii="Times New Roman" w:hAnsi="Times New Roman" w:eastAsia="等线" w:cs="Times New Roman"/>
          <w:b/>
          <w:bCs w:val="0"/>
          <w:i/>
          <w:iCs w:val="0"/>
          <w:sz w:val="20"/>
          <w:szCs w:val="20"/>
          <w:lang w:val="en-US" w:eastAsia="zh-CN"/>
        </w:rPr>
        <w:t>it is proposed that tests for BM at least include two parts: the part to get ground truth, and the part for prediction</w:t>
      </w:r>
      <w:r>
        <w:rPr>
          <w:rFonts w:hint="eastAsia" w:ascii="Times New Roman" w:hAnsi="Times New Roman" w:eastAsia="等线" w:cs="Times New Roman"/>
          <w:b/>
          <w:bCs w:val="0"/>
          <w:i/>
          <w:iCs w:val="0"/>
          <w:sz w:val="20"/>
          <w:szCs w:val="20"/>
          <w:lang w:val="en-US" w:eastAsia="zh-CN"/>
        </w:rPr>
        <w:t xml:space="preserve"> verification</w:t>
      </w:r>
      <w:r>
        <w:rPr>
          <w:rFonts w:hint="default" w:ascii="Times New Roman" w:hAnsi="Times New Roman" w:eastAsia="等线" w:cs="Times New Roman"/>
          <w:b/>
          <w:bCs w:val="0"/>
          <w:i/>
          <w:iCs w:val="0"/>
          <w:sz w:val="20"/>
          <w:szCs w:val="20"/>
          <w:lang w:val="en-US" w:eastAsia="zh-CN"/>
        </w:rPr>
        <w:t>.</w:t>
      </w:r>
    </w:p>
    <w:p w14:paraId="57041B0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334ECFE">
      <w:pPr>
        <w:pStyle w:val="12"/>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4FE9580">
      <w:pPr>
        <w:pStyle w:val="12"/>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505489AA">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404F3C73">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10CA1882">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4CA36734">
      <w:pPr>
        <w:pStyle w:val="12"/>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8ED4ACE">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5F880012">
      <w:pPr>
        <w:pStyle w:val="12"/>
        <w:framePr w:wrap="auto" w:vAnchor="margin" w:hAnchor="text" w:yAlign="inline"/>
        <w:ind w:right="400"/>
        <w:jc w:val="both"/>
        <w:rPr>
          <w:rFonts w:ascii="Times" w:hAnsi="Times" w:eastAsia="宋体"/>
          <w:b w:val="0"/>
          <w:sz w:val="20"/>
          <w:lang w:eastAsia="zh-CN"/>
        </w:rPr>
      </w:pPr>
    </w:p>
    <w:p w14:paraId="17D79F8E">
      <w:pPr>
        <w:pStyle w:val="12"/>
        <w:framePr w:wrap="auto" w:vAnchor="margin" w:hAnchor="text" w:yAlign="inline"/>
        <w:ind w:right="400"/>
        <w:jc w:val="both"/>
        <w:rPr>
          <w:rFonts w:hint="eastAsia" w:ascii="Times" w:hAnsi="Times" w:eastAsia="宋体"/>
          <w:b w:val="0"/>
          <w:sz w:val="20"/>
          <w:lang w:val="en-US" w:eastAsia="zh-CN"/>
        </w:rPr>
      </w:pPr>
    </w:p>
    <w:p w14:paraId="60C6E587"/>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70F7855"/>
    <w:multiLevelType w:val="multilevel"/>
    <w:tmpl w:val="370F78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2487"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1"/>
  </w:num>
  <w:num w:numId="4">
    <w:abstractNumId w:val="6"/>
  </w:num>
  <w:num w:numId="5">
    <w:abstractNumId w:val="4"/>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27921"/>
    <w:rsid w:val="0A12645E"/>
    <w:rsid w:val="0F151C4C"/>
    <w:rsid w:val="0FE50EF5"/>
    <w:rsid w:val="15685863"/>
    <w:rsid w:val="15C5068C"/>
    <w:rsid w:val="1A4B52AF"/>
    <w:rsid w:val="1D1F2FC4"/>
    <w:rsid w:val="22EB365A"/>
    <w:rsid w:val="296D4518"/>
    <w:rsid w:val="2EA06DC5"/>
    <w:rsid w:val="308E7578"/>
    <w:rsid w:val="36E2469A"/>
    <w:rsid w:val="3DEF01B7"/>
    <w:rsid w:val="49AC5F6D"/>
    <w:rsid w:val="4D3D03C8"/>
    <w:rsid w:val="523C403B"/>
    <w:rsid w:val="56EC26DB"/>
    <w:rsid w:val="616927E9"/>
    <w:rsid w:val="6D205895"/>
    <w:rsid w:val="715C7A87"/>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